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240" w:lineRule="auto"/>
        <w:outlineLvl w:val="0"/>
        <w:rPr>
          <w:rFonts w:ascii="Arial" w:hAnsi="Arial" w:eastAsia="宋体" w:cs="Arial"/>
          <w:color w:val="6C6C6C"/>
          <w:kern w:val="36"/>
          <w:sz w:val="48"/>
          <w:szCs w:val="48"/>
          <w14:ligatures w14:val="none"/>
        </w:rPr>
      </w:pPr>
      <w:bookmarkStart w:id="0" w:name="_GoBack"/>
      <w:bookmarkEnd w:id="0"/>
      <w:r>
        <w:rPr>
          <w:rFonts w:hint="eastAsia" w:ascii="微软雅黑" w:hAnsi="微软雅黑" w:eastAsia="微软雅黑" w:cs="Arial"/>
          <w:b/>
          <w:bCs/>
          <w:color w:val="333333"/>
          <w:kern w:val="36"/>
          <w:sz w:val="33"/>
          <w:szCs w:val="33"/>
          <w14:ligatures w14:val="none"/>
        </w:rPr>
        <w:t>山东理工大学全日制学术硕士研究生培养方案</w:t>
      </w:r>
    </w:p>
    <w:p>
      <w:pPr>
        <w:widowControl/>
        <w:pBdr>
          <w:bottom w:val="single" w:color="D4D4D4" w:sz="6" w:space="5"/>
        </w:pBdr>
        <w:shd w:val="clear" w:color="auto" w:fill="FFFFFF"/>
        <w:spacing w:after="150" w:line="360" w:lineRule="atLeast"/>
        <w:jc w:val="center"/>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w:t>
      </w:r>
      <w:r>
        <w:rPr>
          <w:rFonts w:ascii="Arial" w:hAnsi="Arial" w:eastAsia="宋体" w:cs="Arial"/>
          <w:b/>
          <w:bCs/>
          <w:color w:val="333333"/>
          <w:kern w:val="0"/>
          <w:sz w:val="18"/>
          <w:szCs w:val="18"/>
          <w14:ligatures w14:val="none"/>
        </w:rPr>
        <w:t>学科门类：法学</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一级学科代码：</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一级学科名称：</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br w:type="textWrapping"/>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二级学科代码：030301</w:t>
      </w:r>
      <w:r>
        <w:rPr>
          <w:rFonts w:ascii="Arial" w:hAnsi="Arial" w:eastAsia="宋体" w:cs="Arial"/>
          <w:b/>
          <w:bCs/>
          <w:color w:val="333333"/>
          <w:kern w:val="0"/>
          <w:sz w:val="24"/>
          <w14:ligatures w14:val="none"/>
        </w:rPr>
        <w:t>   </w:t>
      </w:r>
      <w:r>
        <w:rPr>
          <w:rFonts w:ascii="Arial" w:hAnsi="Arial" w:eastAsia="宋体" w:cs="Arial"/>
          <w:b/>
          <w:bCs/>
          <w:color w:val="333333"/>
          <w:kern w:val="0"/>
          <w:sz w:val="18"/>
          <w:szCs w:val="18"/>
          <w14:ligatures w14:val="none"/>
        </w:rPr>
        <w:t>二级学科名称：社会学</w:t>
      </w:r>
      <w:r>
        <w:rPr>
          <w:rFonts w:ascii="Arial" w:hAnsi="Arial" w:eastAsia="宋体" w:cs="Arial"/>
          <w:b/>
          <w:bCs/>
          <w:color w:val="333333"/>
          <w:kern w:val="0"/>
          <w:sz w:val="24"/>
          <w14:ligatures w14:val="none"/>
        </w:rPr>
        <w:t> ）</w:t>
      </w:r>
    </w:p>
    <w:p>
      <w:pPr>
        <w:widowControl/>
        <w:pBdr>
          <w:bottom w:val="single" w:color="D4D4D4" w:sz="6" w:space="5"/>
        </w:pBdr>
        <w:shd w:val="clear" w:color="auto" w:fill="FFFFFF"/>
        <w:spacing w:after="150" w:line="360" w:lineRule="atLeast"/>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一、学科简介</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山东理工大学社会学</w:t>
      </w:r>
      <w:r>
        <w:rPr>
          <w:rFonts w:hint="eastAsia" w:ascii="Arial" w:hAnsi="Arial" w:eastAsia="宋体" w:cs="Arial"/>
          <w:color w:val="6C6C6C"/>
          <w:kern w:val="0"/>
          <w:sz w:val="21"/>
          <w:szCs w:val="21"/>
          <w14:ligatures w14:val="none"/>
        </w:rPr>
        <w:t>专业</w:t>
      </w:r>
      <w:r>
        <w:rPr>
          <w:rFonts w:ascii="Arial" w:hAnsi="Arial" w:eastAsia="宋体" w:cs="Arial"/>
          <w:color w:val="6C6C6C"/>
          <w:kern w:val="0"/>
          <w:sz w:val="21"/>
          <w:szCs w:val="21"/>
          <w14:ligatures w14:val="none"/>
        </w:rPr>
        <w:t>始建于2001年，2003年开设本科，2006年获山东省首批社会学硕士学位授予权，2024年增设社会工作专业硕士点，2025年与中共淄博市委社会工作部联合成立淄博市社会工作部，成为鲁中地区唯一覆盖本硕专业全层次培养高校。本学科师资力量雄厚，现有专任教师25人，</w:t>
      </w:r>
      <w:r>
        <w:rPr>
          <w:rFonts w:hint="eastAsia" w:ascii="Arial" w:hAnsi="Arial" w:eastAsia="宋体" w:cs="Arial"/>
          <w:color w:val="6C6C6C"/>
          <w:kern w:val="0"/>
          <w:sz w:val="21"/>
          <w:szCs w:val="21"/>
          <w14:ligatures w14:val="none"/>
        </w:rPr>
        <w:t>其中</w:t>
      </w:r>
      <w:r>
        <w:rPr>
          <w:rFonts w:ascii="Arial" w:hAnsi="Arial" w:eastAsia="宋体" w:cs="Arial"/>
          <w:color w:val="6C6C6C"/>
          <w:kern w:val="0"/>
          <w:sz w:val="21"/>
          <w:szCs w:val="21"/>
          <w14:ligatures w14:val="none"/>
        </w:rPr>
        <w:t>高级职称19人，博士20人，硕士生导师21人，含中国哲学社会科学最有影响力学者1人、省级教学指导专家1人、校级双百工程人才1人。近五年科研成果丰硕，主持国家社科基金13项、省部级项目30余项，出版专著8部，发表CSSCI论文50余篇，获省部级科研奖10余项；学科平台建设完善，拥有山东省生态文化与可持续发展软科学研究基地、山东省社会工作专业人才培训基地、山东省齐文化研究基地等3个省级科研平台，并建立校地合作实践基地20余处。人才培养成效显著，累计培养硕士生110人，毕业生就业于国家机关、事业单位、社会工作机构</w:t>
      </w:r>
      <w:r>
        <w:rPr>
          <w:rFonts w:hint="eastAsia" w:ascii="Arial" w:hAnsi="Arial" w:eastAsia="宋体" w:cs="Arial"/>
          <w:color w:val="6C6C6C"/>
          <w:kern w:val="0"/>
          <w:sz w:val="21"/>
          <w:szCs w:val="21"/>
          <w14:ligatures w14:val="none"/>
        </w:rPr>
        <w:t>，</w:t>
      </w:r>
      <w:r>
        <w:rPr>
          <w:rFonts w:ascii="Arial" w:hAnsi="Arial" w:eastAsia="宋体" w:cs="Arial"/>
          <w:color w:val="6C6C6C"/>
          <w:kern w:val="0"/>
          <w:sz w:val="21"/>
          <w:szCs w:val="21"/>
          <w14:ligatures w14:val="none"/>
        </w:rPr>
        <w:t>专业对口率超过85%，同时注重国际化培养，定期选派研究生参与海外学术交流项目。当前学科聚焦社会资本与基层治理、生态治理与可持续发展、齐文化与地方社会发展三大特色方向，依托社会工作国家级一流本科专业建设点，在乡村振兴、生态政策、文化遗产传承等领域形成全国性学术影响力。未来发展目标为建成山东省社会学高水平学科，深度融入黄河流域生态保护与高质量发展战略，强化齐鲁文化现代化转型研究，打造具有区域引领力的社会政策智库，为新时代社会发展贡献智慧力量。</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二、培养目标</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本学科秉承“有社会责任、有创新精神、有专门知识、有实践能力、有健康身心”的人才培养理念，面向社会需求，培养具有全球化视野，适应当代社会发展需要的复合型高层次的教学与研究、管理与服务的专门人才。具体要求是：</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1.具有正确的政治方向、良好的公民意识和强烈的社会责任感。</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2.掌握扎实系统的社会学基础理论知识，具有比较宽厚的社会学素养、独立的研究能力，以及较强的分析和解决社会问题的能力。</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具有独立从事社会学调查研究、社会工作实务的能力，对某一重要的社会生活领域有深入的研究和了解，具备一定的解决实际问题的能力。较为熟练地掌握一门外国语，能阅读本专业的外文资料。毕业后可在政府、政策研究、企业、新闻媒介、社会服务等单位从事实际工作或在高等院校和科研机构从事教学、科研工作。</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4.有较强的口头和书面文字表达的能力，能熟练运用社会统计软件，熟练掌握一门外语，能阅读和翻译本专业的外文资料。</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三、研究方向</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1.应用社会学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2.社会工作与社会治理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3.民俗与地域文化</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详见附表1。</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四、学习年限</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全日制硕士研究生的基本学制为3年，学习年限为2～4年。科学研究和撰写论文时间不少于1年（从开题报告通过之日开始计算）。在满足论文工作时间要求的前提下，经指导教师同意，少数品学兼优的学生提前完成学业，可申请提前毕业，但科学研究和论文撰写时间要求不变。休学时间不计入学习年限。</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五、课程设置及学分要求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课程包括必修课程和选修课程，学生需在规定时间内完成不低于28学分的课程学分，其中，必修课不低于19学分，选修课不低于9学分。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补修课是针对跨专业研究生设置的本学科研究生所必修的专业基础课程，跨专业研究生应补修若干门本专业的本科生课程，由导师根据具体情况确定补修课门数。补修课程考试成绩合格方可申请学位答辩，不计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课程设置详细情况见附表2。</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六、必修的培养环节</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研究生培养实行导师负责制或以导师负责为主的指导小组（团队）制。导师（或指导小组）不仅负责制订研究生培养计划，指导科学研究、学术活动、实习实践和学位论文等工作，而且对研究生的思想品德、学术道德有引导、示范和监督的责任。研究生须严格按照培养环节要求开展学习、研究和实践，导师（或指导小组）需加强对培养环节的管理和监控。</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必修环节学分为研究生课程结束、进入学位论文阶段后所获得的各类学分，包括论文开题、中期考核、创新创业、实习实践等环节学分。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1.论文开题学分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研究生在导师的指导下，通过查阅文献、收集资料和调查研究后确定研究课题，写出开题报告。5人以上的专家组对开题报告提出评价和修改意见，不通过可限期重做，重做后仍未通过者将终止培养。开题通过后即获得1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2.中期考核学分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对研究生的思政、科研、实践、综合素质以及学位论文进展情况等进行考核，考核不合格的，经培养单位、研究生院审核，报校长办公会批准，做肄业处理。中期考核通过后即获得1学分。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3.实习实践学分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实习实践是培养研究生理论联系实际，解决问题不可或缺的环节，包括教学实践、专业实践两个方面。</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（1）教学实践</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为培养研究生的教学能力和沟通表达能力，研究生在学习期间应参加教学实践。教学实践可采取多种方式进行，如本科课程助教、辅导工作或指导生产实习、课程设计及毕业设计等工作。教学实践时间累计不少于1个月的工作量，结束后由导师写出考核评语，考核通过即获得1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（2）专业实践</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为培养研究生的动手操作能力和实践创新能力，本学科研究生必须进行至少一个月（一般可以利用寒、暑假）的社会调查实践活动。三个方向的研究生必须在学院指定的调查实践基地从事调查至少半个月，其余的调查时间可以根据自已的论文选题，在导师的协助下选定调查地点。导师考核合格即可获得1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4.学术活动</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完成下列4项中的2项，即获得学术活动2学分。</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（1）进行3个月以上的出国访学研修或学术交流；</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（2）参加学术会议并宣读论文，或做公开学术报告2次；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（3）参加全国性的科技竞赛、创意设计、创新创业竞赛等；</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（4）参加6次以上与本学科相关的学术报告，并提交总结。</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七、学位论文</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学位论文是考察研究生培养质量的关键环节，完成学位论文有如下几个环节：首先，研究生应在导师指导下，选择合适的研究课题，既体现本学科的前沿性、社会学学科的经验性质，又力求与国家、省的研究课题相挂钩，同时注意研究课题与国家政策和国民经济与社会发展的关系。其次，作好开题报告。再次，在正式撰写论文之前，应围绕学位论文撰写一篇有一定学术见解和视野较为开阔的文献综述，并努力在国家级学术期刊上发表。最后，学位论文按照《山东理工大学关于研究生学位论文工作的有关规定》《山东理工大学硕士博士学位授予工作实施细则》等相关文件的有关规定组织评阅与答辩。论文总字数不少于3万字。</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开题报告同课程学分一样，将是研究生论文写作的资格之一。规定的开题报告包括如下几个方面：</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（1）研究摘要。以简洁的语言写明学位论文的基本内容和研究思路；</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（2）研究题目。说明选题的理由，理论与现实两方面的意义，论文的主要关注点和基本框架，研究和论文写作的可行性；</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（3）研究状况。列举中外学者在本论文涉及的领域内的已有研究成果、基本观点，并通过说明已有研究成果的不足或不完善之处，论证本论文写作的必要性；</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（4）研究方案。包括具体的研究问题、研究可能遇到的疑点和难点、研究对象或个案的基本情况介绍与典型意义，以及需要通过研究进行检验和论证的基本假设；</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（5）研究设计。主要包括资料的收集手段和方法（如抽样设计）；</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（6）资料的整理和分析。针对研究问题和资料特点，提出拟采用的整理和分析资料的方法和手段，包括定性和定量研究方法；</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（7）研究计划。说明从事研究和论文写作的进度和时间安排；</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（8）参考文献。列出研究和论文写作参阅的中外文献资料的目录，文献阅读量不得少于50部（篇）专业中外文文献，其中属于基础理论的文献不得少于30部（篇）；</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（9）其他。除上述以外的与论文写作有关事宜。</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八、毕业与学位要求</w:t>
      </w:r>
    </w:p>
    <w:p>
      <w:pPr>
        <w:widowControl/>
        <w:shd w:val="clear" w:color="auto" w:fill="FFFFFF"/>
        <w:spacing w:after="24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（一）毕业要求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满足以下条件，可获得毕业证书。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1.热爱祖国，拥护中国共产党的领导，具有社会责任感和历史使命感，维护国家和人民的根本利益，遵纪守法，身心健康；</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2.具有良好的品德修养和学术道德，实事求是、勇于创新；</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3.修读完培养方案规定课程和其他培养环节，成绩考核合格；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4.完成论文答辩，成绩合格；</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5.符合学校有关规定的其他要求。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（二）学位要求</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在获得毕业证书的基础上，研究生必须满足学术成果要求，达到学位授予标准，方可授予学位证书。</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学术成果要求：研究生在校学习期间须以山东理工大学为第一署名单位，公开发表一定数量的与学位论文相关的学术成果。具体要求按照学校关于研究生学位授予标准相关文件执行。</w:t>
      </w:r>
    </w:p>
    <w:p>
      <w:pPr>
        <w:widowControl/>
        <w:pBdr>
          <w:bottom w:val="single" w:color="D4D4D4" w:sz="6" w:space="5"/>
        </w:pBdr>
        <w:shd w:val="clear" w:color="auto" w:fill="FFFFFF"/>
        <w:spacing w:after="150" w:line="360" w:lineRule="atLeast"/>
        <w:ind w:firstLine="482" w:firstLineChars="200"/>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附表1：研究方向简介</w:t>
      </w:r>
    </w:p>
    <w:p>
      <w:pPr>
        <w:widowControl/>
        <w:shd w:val="clear" w:color="auto" w:fill="FFFFFF"/>
        <w:spacing w:after="150" w:line="450" w:lineRule="atLeast"/>
        <w:ind w:firstLine="420" w:firstLineChars="200"/>
        <w:jc w:val="both"/>
        <w:rPr>
          <w:rFonts w:ascii="Arial" w:hAnsi="Arial" w:eastAsia="宋体" w:cs="Arial"/>
          <w:color w:val="6C6C6C"/>
          <w:kern w:val="0"/>
          <w:sz w:val="21"/>
          <w:szCs w:val="21"/>
          <w14:ligatures w14:val="none"/>
        </w:rPr>
      </w:pPr>
      <w:r>
        <w:rPr>
          <w:rFonts w:ascii="Arial" w:hAnsi="Arial" w:eastAsia="宋体" w:cs="Arial"/>
          <w:color w:val="6C6C6C"/>
          <w:kern w:val="0"/>
          <w:sz w:val="21"/>
          <w:szCs w:val="21"/>
          <w14:ligatures w14:val="none"/>
        </w:rPr>
        <w:t>一、综合素质 掌握马克思主义基本原理和社会科学基本理论与方法，了解科学社会主义、社会学、心理学、管理学等人文社科的基本知识和基础理论。具有人文精神，具有科学严谨、求真务实的治学态度、良好的学术素养及学术道德。 支撑课程：新时代中国特色社会主义理论与实践、马克思主义与科学方法论、论文写作与学术规范、中国社会学史、国外社会学理论、定量社会研究方法、质性社会研究方法、社会心理学、研究生心理健康教育、实习实践</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二、综合能力 掌握一门外国语，能熟练阅读本学科外文文献和相关资料，具有一定的写作能力和基本的听、说能力；掌握专业领域研究所需的spss/stata等统计软件；具有较强的自学能力、实践创新能力、写作能力和学术交流能力。 支撑课程：研究生英语、口语、论文写作与学术规范、当代中国社会问题研究、中国社会思想史、社会科学统计软件应用、社会学英文文献阅读导引</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1、应用社会学 该方向注重与人类学、政治学、体育学、教育学等学科的交叉融合，逐步形成了文化社会学、政治社会学、体育社会学、教育社会学等研究领域。学科方向致力于将社会学理论与当前社会治理和社会建设实践相结合，对城乡社会治理、环境社会学、乡村振兴、贫困问题等进行深入系统地研究，依托山东省社会工作专业人才培训基地、山东省生态文化与可持续发展软科学研究基地、山东理工大学法治与社会治理研究中心，不断加强政产学研用的协同创新，注重通过社会治理的理论、模式、方法的探讨与研究，为社会治理实践提供战略指导、政策咨询、人才培养等高端服务。 支撑课程：中国社会学史、国外社会学理论、中国社会政策与社会福利研究专题、农村社会学研究专题、城市社会学研究专题、文化社会学专题</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2、社会工作 该方向立足于社会学服务社会实践的需要，将社会学的原理与方法运用于具体的社会现象研究，对大学生弱势群体救助、大学生研究生心理健康教育、居民慈善捐赠行为、社会政策、心理健康教育服务人员的个性胜任特征等问题进行了系统而深刻的研究，主要研究领域包括社会心理、社会工作、社会保障、心理健康教育等。依托山东省社会工作专业人才培训基地，重视通过实证研究解决社会问题，为决策部门提供事实依据，实现社会学服务社会生活的终极目标。 支撑课程：社会工作理论与方法、社会心理学研究专题、当代中国社会问题研究专题、中国社会政策与社会福利研究专题、社会工作专题研究、性别与社会工作、社会服务项目管理与评估</w:t>
      </w:r>
      <w:r>
        <w:rPr>
          <w:rFonts w:ascii="Arial" w:hAnsi="Arial" w:eastAsia="宋体" w:cs="Arial"/>
          <w:color w:val="6C6C6C"/>
          <w:kern w:val="0"/>
          <w:sz w:val="18"/>
          <w:szCs w:val="18"/>
          <w14:ligatures w14:val="none"/>
        </w:rPr>
        <w:br w:type="textWrapping"/>
      </w:r>
      <w:r>
        <w:rPr>
          <w:rFonts w:ascii="Arial" w:hAnsi="Arial" w:eastAsia="宋体" w:cs="Arial"/>
          <w:color w:val="6C6C6C"/>
          <w:kern w:val="0"/>
          <w:sz w:val="21"/>
          <w:szCs w:val="21"/>
          <w14:ligatures w14:val="none"/>
        </w:rPr>
        <w:t>3、民俗与地域文化（交叉） 该方向基于民俗学、文化人类学理论，结合地域文化建设，注重对民俗学、文化人类学理论，山东特别是齐地地域文化（包括非物质文化遗产在内民间文化）的传承，当前文化产业建设等方面的系统深入研究。该方向依托山东理工大学齐文化研究院，注重通过民俗学、文化人类学理论与方法的研究，为优秀民间文化传承与地方文化建设提供政策参考。 支撑课程：民俗学理论与方法、田野调查方法、中国传统生态民俗专题研究、区域民俗研究、齐文化研究、民间文艺研究</w:t>
      </w:r>
    </w:p>
    <w:p>
      <w:pPr>
        <w:widowControl/>
        <w:pBdr>
          <w:bottom w:val="single" w:color="D4D4D4" w:sz="6" w:space="5"/>
        </w:pBdr>
        <w:shd w:val="clear" w:color="auto" w:fill="FFFFFF"/>
        <w:spacing w:after="150" w:line="360" w:lineRule="atLeast"/>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课程设置与考试要求</w:t>
      </w:r>
    </w:p>
    <w:tbl>
      <w:tblPr>
        <w:tblStyle w:val="15"/>
        <w:tblW w:w="9600" w:type="dxa"/>
        <w:tblCellSpacing w:w="0" w:type="dxa"/>
        <w:tblInd w:w="0" w:type="dxa"/>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Layout w:type="autofit"/>
        <w:tblCellMar>
          <w:top w:w="0" w:type="dxa"/>
          <w:left w:w="0" w:type="dxa"/>
          <w:bottom w:w="0" w:type="dxa"/>
          <w:right w:w="0" w:type="dxa"/>
        </w:tblCellMar>
      </w:tblPr>
      <w:tblGrid>
        <w:gridCol w:w="723"/>
        <w:gridCol w:w="700"/>
        <w:gridCol w:w="2156"/>
        <w:gridCol w:w="600"/>
        <w:gridCol w:w="600"/>
        <w:gridCol w:w="600"/>
        <w:gridCol w:w="900"/>
        <w:gridCol w:w="900"/>
        <w:gridCol w:w="2421"/>
      </w:tblGrid>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课程类别</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课程编号</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课程名称</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学分</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学时</w:t>
            </w:r>
          </w:p>
        </w:tc>
        <w:tc>
          <w:tcPr>
            <w:tcW w:w="6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学期</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授课方式</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考试方式</w:t>
            </w:r>
          </w:p>
        </w:tc>
        <w:tc>
          <w:tcPr>
            <w:tcW w:w="900" w:type="dxa"/>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分组情况</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A公共必修课程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G14001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研究生英语</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90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G14003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口语</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G15003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论文写作与学术规范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G16001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马克思主义与社会科学方法论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G16007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新时代中国特色社会主义理论与实践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B学科基础课程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150121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中国社会学前沿理论研究</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150122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国外社会学理论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150124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质性社会研究方法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150125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社会心理学研究专题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150126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社会科学统计软件应用（SPSS 或 STATA）</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笔试</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民俗学概论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C专业选修课程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150007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社会工作专题研究</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第1组，选4-4门,组内选4门</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150012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社会分层与社会流动</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150127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中国社会思想史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150128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中国社会政策与社会福利研究专题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150137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社会工作理论</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150147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区域民俗研究</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150151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性别与社会工作</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150260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基层社会治理研究专题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150261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文化人类学研究专题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150262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社会学经典文献阅读导引（全英文）</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150264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社区研究专题</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150278</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田野调查理论与实践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150280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中国民俗学史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150281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社会工作服务项目设计与督导</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D素养选修课程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G02060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科研素养与创新能力</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restart"/>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第2组，选1-1门</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G09064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科研与人文修养</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G10014</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实验设计与统计分析</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G15005</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研究生心理健康教育</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G19003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设计鉴赏</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G20002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舞蹈形体训练</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G21003</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瑜伽</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16</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课堂讲授</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考查</w:t>
            </w:r>
          </w:p>
        </w:tc>
        <w:tc>
          <w:tcPr>
            <w:tcW w:w="0" w:type="auto"/>
            <w:vMerge w:val="continue"/>
            <w:tcBorders>
              <w:top w:val="single" w:color="D9D9D9" w:sz="2" w:space="0"/>
              <w:left w:val="single" w:color="D9D9D9" w:sz="2" w:space="0"/>
              <w:bottom w:val="single" w:color="D9D9D9" w:sz="6" w:space="0"/>
              <w:right w:val="single" w:color="D9D9D9" w:sz="6" w:space="0"/>
            </w:tcBorders>
            <w:vAlign w:val="center"/>
          </w:tcPr>
          <w:p>
            <w:pPr>
              <w:widowControl/>
              <w:spacing w:after="0" w:line="240" w:lineRule="auto"/>
              <w:rPr>
                <w:rFonts w:ascii="Arial" w:hAnsi="Arial" w:eastAsia="宋体" w:cs="Arial"/>
                <w:kern w:val="0"/>
                <w:sz w:val="18"/>
                <w:szCs w:val="18"/>
                <w14:ligatures w14:val="none"/>
              </w:rPr>
            </w:pPr>
          </w:p>
        </w:tc>
      </w:tr>
    </w:tbl>
    <w:p>
      <w:pPr>
        <w:widowControl/>
        <w:shd w:val="clear" w:color="auto" w:fill="FFFFFF"/>
        <w:spacing w:after="0" w:line="240" w:lineRule="auto"/>
        <w:rPr>
          <w:rFonts w:ascii="Arial" w:hAnsi="Arial" w:eastAsia="宋体" w:cs="Arial"/>
          <w:color w:val="6C6C6C"/>
          <w:kern w:val="0"/>
          <w:sz w:val="18"/>
          <w:szCs w:val="18"/>
          <w14:ligatures w14:val="none"/>
        </w:rPr>
      </w:pPr>
    </w:p>
    <w:p>
      <w:pPr>
        <w:widowControl/>
        <w:pBdr>
          <w:bottom w:val="single" w:color="D4D4D4" w:sz="6" w:space="5"/>
        </w:pBdr>
        <w:shd w:val="clear" w:color="auto" w:fill="FFFFFF"/>
        <w:spacing w:after="150" w:line="360" w:lineRule="atLeast"/>
        <w:outlineLvl w:val="1"/>
        <w:rPr>
          <w:rFonts w:ascii="Arial" w:hAnsi="Arial" w:eastAsia="宋体" w:cs="Arial"/>
          <w:b/>
          <w:bCs/>
          <w:color w:val="333333"/>
          <w:kern w:val="0"/>
          <w:sz w:val="24"/>
          <w14:ligatures w14:val="none"/>
        </w:rPr>
      </w:pPr>
      <w:r>
        <w:rPr>
          <w:rFonts w:ascii="Arial" w:hAnsi="Arial" w:eastAsia="宋体" w:cs="Arial"/>
          <w:b/>
          <w:bCs/>
          <w:color w:val="333333"/>
          <w:kern w:val="0"/>
          <w:sz w:val="24"/>
          <w14:ligatures w14:val="none"/>
        </w:rPr>
        <w:t>培养环节</w:t>
      </w:r>
    </w:p>
    <w:tbl>
      <w:tblPr>
        <w:tblStyle w:val="15"/>
        <w:tblW w:w="9600" w:type="dxa"/>
        <w:tblCellSpacing w:w="0" w:type="dxa"/>
        <w:tblInd w:w="0" w:type="dxa"/>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Layout w:type="autofit"/>
        <w:tblCellMar>
          <w:top w:w="0" w:type="dxa"/>
          <w:left w:w="0" w:type="dxa"/>
          <w:bottom w:w="0" w:type="dxa"/>
          <w:right w:w="0" w:type="dxa"/>
        </w:tblCellMar>
      </w:tblPr>
      <w:tblGrid>
        <w:gridCol w:w="2209"/>
        <w:gridCol w:w="2209"/>
        <w:gridCol w:w="2209"/>
        <w:gridCol w:w="2209"/>
        <w:gridCol w:w="764"/>
      </w:tblGrid>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培养环节代码</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培养环节名称</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培养环节类型</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培养环节学分</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备注</w:t>
            </w: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07</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专业实践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10</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教学实践</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学术活动</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开题报告</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r>
        <w:tblPrEx>
          <w:tblBorders>
            <w:top w:val="single" w:color="D9D9D9" w:sz="6" w:space="0"/>
            <w:left w:val="single" w:color="D9D9D9" w:sz="6" w:space="0"/>
            <w:bottom w:val="single" w:color="D9D9D9" w:sz="2" w:space="0"/>
            <w:right w:val="single" w:color="D9D9D9" w:sz="2" w:space="0"/>
            <w:insideH w:val="none" w:color="auto" w:sz="0" w:space="0"/>
            <w:insideV w:val="none" w:color="auto" w:sz="0" w:space="0"/>
          </w:tblBorders>
          <w:tblCellMar>
            <w:top w:w="0" w:type="dxa"/>
            <w:left w:w="0" w:type="dxa"/>
            <w:bottom w:w="0" w:type="dxa"/>
            <w:right w:w="0" w:type="dxa"/>
          </w:tblCellMar>
        </w:tblPrEx>
        <w:trPr>
          <w:trHeight w:val="450" w:hRule="atLeast"/>
          <w:tblCellSpacing w:w="0" w:type="dxa"/>
        </w:trPr>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22</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中期筛选</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必修环节</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r>
              <w:rPr>
                <w:rFonts w:ascii="Arial" w:hAnsi="Arial" w:eastAsia="宋体" w:cs="Arial"/>
                <w:kern w:val="0"/>
                <w:sz w:val="18"/>
                <w:szCs w:val="18"/>
                <w14:ligatures w14:val="none"/>
              </w:rPr>
              <w:t>1</w:t>
            </w:r>
          </w:p>
        </w:tc>
        <w:tc>
          <w:tcPr>
            <w:tcW w:w="0" w:type="auto"/>
            <w:tcBorders>
              <w:top w:val="single" w:color="D9D9D9" w:sz="2" w:space="0"/>
              <w:left w:val="single" w:color="D9D9D9" w:sz="2" w:space="0"/>
              <w:bottom w:val="single" w:color="D9D9D9" w:sz="6" w:space="0"/>
              <w:right w:val="single" w:color="D9D9D9" w:sz="6" w:space="0"/>
            </w:tcBorders>
            <w:vAlign w:val="center"/>
          </w:tcPr>
          <w:p>
            <w:pPr>
              <w:widowControl/>
              <w:spacing w:after="0" w:line="450" w:lineRule="atLeast"/>
              <w:jc w:val="center"/>
              <w:rPr>
                <w:rFonts w:ascii="Arial" w:hAnsi="Arial" w:eastAsia="宋体" w:cs="Arial"/>
                <w:kern w:val="0"/>
                <w:sz w:val="18"/>
                <w:szCs w:val="18"/>
                <w14:ligatures w14:val="none"/>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5E3"/>
    <w:rsid w:val="00281568"/>
    <w:rsid w:val="00807262"/>
    <w:rsid w:val="00AA2003"/>
    <w:rsid w:val="00DC75E3"/>
    <w:rsid w:val="7F74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5316</Words>
  <Characters>5590</Characters>
  <Lines>391</Lines>
  <Paragraphs>465</Paragraphs>
  <TotalTime>1</TotalTime>
  <ScaleCrop>false</ScaleCrop>
  <LinksUpToDate>false</LinksUpToDate>
  <CharactersWithSpaces>5613</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2026-03-11T07:16:00Z</dcterms:created>
  <dc:creator>xian sheng li</dc:creator>
  <cp:lastModifiedBy>WPS_1693304473</cp:lastModifiedBy>
  <dcterms:modified xsi:type="dcterms:W3CDTF">2026-03-11T09:47:36Z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E350105EF3BE476CBAAFD13DAB4C7C38</vt:lpwstr>
  </property>
</Properties>
</file>