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outlineLvl w:val="0"/>
        <w:rPr>
          <w:rFonts w:ascii="Arial" w:hAnsi="Arial" w:eastAsia="宋体" w:cs="Arial"/>
          <w:color w:val="6C6C6C"/>
          <w:kern w:val="36"/>
          <w:sz w:val="48"/>
          <w:szCs w:val="48"/>
          <w14:ligatures w14:val="none"/>
        </w:rPr>
      </w:pPr>
      <w:bookmarkStart w:id="0" w:name="_GoBack"/>
      <w:bookmarkEnd w:id="0"/>
      <w:r>
        <w:rPr>
          <w:rFonts w:hint="eastAsia" w:ascii="微软雅黑" w:hAnsi="微软雅黑" w:eastAsia="微软雅黑" w:cs="Arial"/>
          <w:b/>
          <w:bCs/>
          <w:color w:val="333333"/>
          <w:kern w:val="36"/>
          <w:sz w:val="33"/>
          <w:szCs w:val="33"/>
          <w14:ligatures w14:val="none"/>
        </w:rPr>
        <w:t>山东理工大学全日制专业硕士研究生培养方案</w:t>
      </w:r>
    </w:p>
    <w:p>
      <w:pPr>
        <w:widowControl/>
        <w:pBdr>
          <w:bottom w:val="single" w:color="D4D4D4" w:sz="6" w:space="5"/>
        </w:pBdr>
        <w:shd w:val="clear" w:color="auto" w:fill="FFFFFF"/>
        <w:spacing w:after="150" w:line="360" w:lineRule="atLeast"/>
        <w:jc w:val="center"/>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w:t>
      </w:r>
      <w:r>
        <w:rPr>
          <w:rFonts w:ascii="Arial" w:hAnsi="Arial" w:eastAsia="宋体" w:cs="Arial"/>
          <w:b/>
          <w:bCs/>
          <w:color w:val="333333"/>
          <w:kern w:val="0"/>
          <w:sz w:val="18"/>
          <w:szCs w:val="18"/>
          <w14:ligatures w14:val="none"/>
        </w:rPr>
        <w:t>专业学位类别代码：0352</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专业学位类别名称：社会工作</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br w:type="textWrapping"/>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领域代码：035200</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领域名称：社会工作</w:t>
      </w:r>
      <w:r>
        <w:rPr>
          <w:rFonts w:ascii="Arial" w:hAnsi="Arial" w:eastAsia="宋体" w:cs="Arial"/>
          <w:b/>
          <w:bCs/>
          <w:color w:val="333333"/>
          <w:kern w:val="0"/>
          <w:sz w:val="24"/>
          <w14:ligatures w14:val="none"/>
        </w:rPr>
        <w:t> ）</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一、学科简介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山东理工大学社会工作专业</w:t>
      </w:r>
      <w:r>
        <w:rPr>
          <w:rFonts w:hint="eastAsia" w:ascii="Arial" w:hAnsi="Arial" w:eastAsia="宋体" w:cs="Arial"/>
          <w:color w:val="6C6C6C"/>
          <w:kern w:val="0"/>
          <w:sz w:val="21"/>
          <w:szCs w:val="21"/>
          <w14:ligatures w14:val="none"/>
        </w:rPr>
        <w:t>专业</w:t>
      </w:r>
      <w:r>
        <w:rPr>
          <w:rFonts w:ascii="Arial" w:hAnsi="Arial" w:eastAsia="宋体" w:cs="Arial"/>
          <w:color w:val="6C6C6C"/>
          <w:kern w:val="0"/>
          <w:sz w:val="21"/>
          <w:szCs w:val="21"/>
          <w14:ligatures w14:val="none"/>
        </w:rPr>
        <w:t>始建于2001，2003年开设本科，2006年获山东省首批社会学硕士学位授予权，2024年开设社会工作专业硕士点，2025年与中共淄博市委社会工作部联合成立淄博市社会工作学院，成为鲁中地区唯一覆盖本硕专业全层次培养高校。本学科师资力量雄厚，现有专任教师25人，</w:t>
      </w:r>
      <w:r>
        <w:rPr>
          <w:rFonts w:hint="eastAsia" w:ascii="Arial" w:hAnsi="Arial" w:eastAsia="宋体" w:cs="Arial"/>
          <w:color w:val="6C6C6C"/>
          <w:kern w:val="0"/>
          <w:sz w:val="21"/>
          <w:szCs w:val="21"/>
          <w14:ligatures w14:val="none"/>
        </w:rPr>
        <w:t>其中</w:t>
      </w:r>
      <w:r>
        <w:rPr>
          <w:rFonts w:ascii="Arial" w:hAnsi="Arial" w:eastAsia="宋体" w:cs="Arial"/>
          <w:color w:val="6C6C6C"/>
          <w:kern w:val="0"/>
          <w:sz w:val="21"/>
          <w:szCs w:val="21"/>
          <w14:ligatures w14:val="none"/>
        </w:rPr>
        <w:t>高级职称19人，博士20人，硕士生导师21人，含中国哲学社会科学最有影响力学者1人、省级教学指导专家1人、校级双百工程人才1人。近五年科研成果丰硕，主持国家社科基金13项、省部级项目30余项，出版专著8部，发表CSSCI论文50余篇，获省部级科研奖10余项；学科平台建设完善，拥有山东省生态文化与可持续发展软科学研究基地、山东省社会工作专业人才培训基地、山东省齐文化研究基地等3个省级科研平台，并建立校地合作实践基地20余处。人才培养成效显著，累计培养硕士生110人，毕业生就业于国家机关、事业单位、社会工作机构</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专业对口率超过85%，同时注重国际化培养，定期选派研究生参与海外学术交流项目。当前学科聚焦社会资本与基层治理、生态治理与可持续发展、齐文化与地方社会发展三大特色方向，依托社会工作国家级一流本科专业建设点，在乡村振兴、生态政策、文化遗产传承等领域形成全国性学术影响力。未来发展目标为建成山东省社会工作高水平学科，深度融入黄河流域生态保护与高质量发展战略，强化齐鲁文化现代化转型研究，打造具有区域引领力的社会政策智库，为新时代社会发展贡献智慧力量。</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二、培养目标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本学科秉承“有社会责任、有创新精神、有专门知识、有实践能力、有健康身心”的人才培养理念，面向国家重大战略（行业）需求与经济社会高质量发展，培养具有国际学术视野，富有高度社会责任感、高水平专业素养、较强学术创新能力的复合型高级专门人才。对</w:t>
      </w:r>
      <w:r>
        <w:rPr>
          <w:rFonts w:hint="eastAsia" w:ascii="Arial" w:hAnsi="Arial" w:eastAsia="宋体" w:cs="Arial"/>
          <w:color w:val="6C6C6C"/>
          <w:kern w:val="0"/>
          <w:sz w:val="21"/>
          <w:szCs w:val="21"/>
          <w14:ligatures w14:val="none"/>
        </w:rPr>
        <w:t>硕</w:t>
      </w:r>
      <w:r>
        <w:rPr>
          <w:rFonts w:ascii="Arial" w:hAnsi="Arial" w:eastAsia="宋体" w:cs="Arial"/>
          <w:color w:val="6C6C6C"/>
          <w:kern w:val="0"/>
          <w:sz w:val="21"/>
          <w:szCs w:val="21"/>
          <w14:ligatures w14:val="none"/>
        </w:rPr>
        <w:t>士生培养的具体目标如下：</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1.掌握马克思主义科学理论，树立正确的世界观、人生观与价值观，培养良好的公民意识和强烈的社会责任感；</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2.具有良好的科学精神与严谨的科学态度，恪守学术道德和学术规范；</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系统掌握社会工作的基础理论、实践技术及研究方法，熟悉中国社会政策与社会服务体系，具备较强的社会服务策划、运行管理、项目评估、政策研究能力和创新精神，能够胜任在企业事单位和社会组织从事服务与管理工作的应用型社会工作专门人才；</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4.具有较强的口头和书面文字表达的能力，能够在学术期刊、学术网站、学术会议等平台展示自己的研究成果，准确表达自己的学术思想；</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5.能熟练掌握一门外语，阅读和翻译本专业的外文资料。</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三、研究方向</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1.基层社区服务治理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2.青少年心理健康服务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3.文化关联性社会工作</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详见附表1。</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四、学习年限</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全日制硕士研究生的基本学制为3年，学习年限为2～4年。科学研究和撰写论文时间不少于1年（从开题报告通过之日开始计算）。在满足论文工作时间要求的前提下，经指导教师同意，少数品学兼优的学生提前完成学业，可申请提前毕业，但科学研究和论文撰写时间要求不变。休学时间不计入学习年限。</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五、课程设置及学分要求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课程包括必修课程和选修课程，学生需在规定时间内完成不低于36学分的课程学分，其中，必修课不低于12学分，选修课不低于8学分。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补修课是针对跨专业研究生设置的本学科研究生所必修的专业基础课程，跨专业研究生应补修若干门本专业的本科生课程，由导师根据具体情况确定补修课门数。补修课程考试成绩合格方可申请学位开题答辩，不计学分。设置1-2门全外语授课课程（外语类课程除外），选修1门。</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课程设置情况见附表2。</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六、培养方式及培养环节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研究生培养实行导师负责制或以导师负责为主的指导小组（团队）制。导师（或指导小组）不仅负责制订研究生培养计划，指导科学研究、学术活动、实习实践和学位论文等工作，而且对研究生的思想品德、学术道德有引导、示范和监督的责任。研究生须严格按照培养环节要求开展学习、研究和实践，导师（或指导小组）需加强对培养环节的管理和监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必修环节学分为研究生课程结束、进入学位论文阶段后所获得的各类学分，包括论文开题、中期考核、创新创业、实习实践等环节。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1.论文开题</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研究生在导师的指导下，通过查阅文献、收集资料和调查研究后确定研究课题，写出开题报告。5人以上的专家组对开题报告提出评价和修改意见，不通过可限期重做，重做后仍未通过者将终止培养。</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2.中期考核</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对研究生的思政、科研、实践、综合素质以及学位论文进展情况等进行考核，考核不合格的，经培养单位、研究生院审核，报校长办公会批准，做肄业处理。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3.实习实践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实习实践是培养研究生理论联系实际，解决问题不可或缺的环节，包括教学实践、专业实践两个方面。</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（1）教学实践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为培养研究生的教学能力和沟通表达能力，研究生在学习期间应参加教学实践。教学实践可采取多种方式进行，如本科课程助教、辅导工作或指导生产实习、课程设计及毕业设计等工作。教学实践时间累计不少于1个月的工作量，结束后由导师写出考核评语。</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（2）专业实践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为培养研究生的动手操作能力和实践创新能力，本学科研究生必须进行不少于800小时的社会工作实习，社会工作专业本科毕业生不少于600小时。三个方向的研究生在学院指定的实习实践基地进行有专业督导的社会工作实习。</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4.学术活动</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完成下列4项中的2项，即获得学术活动2学分。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（1）进行3个月以上的出国访学研修或学术交流；</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（2）参加学术会议并宣读论文，或做公开学术报告2次；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（3）参加全国性的科技竞赛、创意设计、创新创业竞赛等；</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（4）参加6次以上与本学科相关的学术报告，并提交总结。</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七、学位论文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学位论文是考察研究生培养质量的关键环节，具体包括：（1）选题。研究生应在导师指导下，选择合适的研究课题，既体现本学科的前沿性、社会工作学科的经验性质，又力求与国家、本省的研究课题相挂钩，同时注意研究课题与国家政策和国民经济与社会发展的关系。（2）开题报告。具体要求详见下文。（3）文献综述。在正式撰写论文之前，应围绕学位论文撰写一篇有一定学术见解和视野较为开阔的文献综述，并努力在国家级学术期刊上发表。（4）学位论文。学生完成学位论文后，经导师同意，按照《山东理工大学关于研究生学位论文工作的有关规定》《山东理工大学硕士博士学位授予工作实施细则》等相关文件的有关规定组织评阅与答辩。论文总字数不少于3万字。</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开题报告同课程学分一样，将是研究生论文写作的资格之一。规定的开题报告包括如下几个方面：</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（1）研究摘要。以简洁的语言写明学位论文的基本内容和研究思路；</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（2）研究题目。说明选题的理由，理论与现实两方面的意义，论文的主要关注点和基本框架，研究和论文写作的可行性；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（3）研究状况。列举中外学者在本论文涉及的领域内的已有研究成果、基本观点，并通过说明已有研究成果的不足或不完善之处，论证本论文写作的必要性；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（4）研究方案。包括具体的研究问题、研究可能遇到的疑点和难点、研究对象或个案的基本情况介绍与典型意义，以及需要通过研究进行检验和论证的基本假设；</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（5）研究设计。主要包括资料的收集手段和方法（如抽样设计）；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（6）资料的整理和分析。针对研究问题和资料特点，提出拟采用的整理和分析资料的方法和手段，包括定性和定量研究方法；</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（7）研究计划。说明从事研究和论文写作的进度和时间安排；</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（8）参考文献。列出研究和论文写作参阅的中外文献资料的目录，文献阅读量不得少于50部（篇）专业中外文文献，其中属于基础理论的文献不得少于30部（篇）；</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（9）其他。除上述以外的与论文写作有关事宜。</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八、毕业与学位要求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（一）毕业要求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满足毕业要求，可获得毕业证书；在获得毕业证书的基础上，如满足学位授予标准，可授予学位证书。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1.热爱祖国，拥护中国共产党的领导，具有社会责任感和历史使命感，维护国家和人民的根本利益，遵纪守法，身心健康；</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2.具有良好的品德修养和学术道德，实事求是、勇于创新；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3.修读完培养方案规定课程和其他培养环节，成绩考核合格；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4.完成论文答辩，成绩合格；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5.符合学校有关规定的其他要求。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（二）学位要求：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在获得毕业证书的基础上，研究生必须满足学术成果要求，达到学位授予标准，方可授予学位证书。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学术成果要求：研究生在校学习期间须以山东理工大学为第一署名单位，公开发表一定数量的与学位论文相关的学术成果。具体要求按照学校关于研究生学位授予标准相关文件执行。</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附表1：研究方向简介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基层社区服务治理 本方向注重于培养学生系统掌握基层社区治理的前沿理论，熟练运用社区工作方法，精准识别社区需求、有效整合社区资源。通过参与真实社区治理项目，锻炼项目策划、组织协调与执行能力，使其具备敏锐的社区问题洞察力和高效的治理策略制定能力，成长为能够引领基层社区治理创新，推动社区可持续发展，构建和谐社区生态的专业人才，为基层社会治理现代化贡献专业力量。</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青少年心理健康服务 本方向聚焦青少年在社会适应、人际交往、行为矫正、危机干预等关键领域，深入开展理论研究与实践探索。旨在培养具备扎实心理学理论基础、熟练掌握青少年心理健康服务专业技术的社会工作人才。学生不仅能够运用科学方法对青少年心理问题进行精准评估与干预，还能创新设计心理健康服务项目，引导青少年树立积极健康的心理品质，促进其全面发展。同时，通过家校社的紧密协作，提升社会各界对青少年心理健康的重视与支持，形成全社会共同关注青少年成长的良好氛围。</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文化关联性社会工作 本方向依重点培养学生深刻理解不同文化的内涵与价值，具备敏锐的文化洞察力和异文化通融能力，能够在多元文化背景下，尊重并包容文化差异，有效开展跨文化社会工作服务。通过挖掘地方特色文化资源，将文化元素融入社会工作实践，创新文化服务模式，提升文化服务能力。使学生成为兼具文化底蕴与专业素养的社会工作者，能够运用文化力量解决社会问题，推动文化与社会工作的深度融合，助力地方文化传承与社会和谐发展 。</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课程设置与考试要求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475"/>
        <w:gridCol w:w="681"/>
        <w:gridCol w:w="1503"/>
        <w:gridCol w:w="600"/>
        <w:gridCol w:w="600"/>
        <w:gridCol w:w="600"/>
        <w:gridCol w:w="900"/>
        <w:gridCol w:w="900"/>
        <w:gridCol w:w="3341"/>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课程类别</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课程编号</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课程名称</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学分</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学时</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学期</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授课方式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考试方式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分组情况</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A公共必修课程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研究生英语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马克思主义与社会科学方法论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新时代中国特色社会主义理论与实践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论文写作与学术规范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B学科基础课程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社会科学统计软件应用（SPSS 或 STATA）</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社会工作理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质性研究方法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高级社会工作实务</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社会工作伦理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社会政策</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C专业选修课程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专业外语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第1组，选9-18学分,最低不低于17学分</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基层社会治理理论与实践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社会组织管理与运营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社区服务项目设计与管理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社区营造理论与实践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心理咨询与治疗</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青少年社会工作</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精神康复社会工作</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民俗学概论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田野调查理论与实践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150279</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多元文化与社会工作</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D素养选修课程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G02060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科研素养与创新能力</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研究生心理健康教育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G19002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美术鉴赏</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G20002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舞蹈形体训练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羽毛球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瑜伽</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bl>
    <w:p>
      <w:pPr>
        <w:widowControl/>
        <w:shd w:val="clear" w:color="auto" w:fill="FFFFFF"/>
        <w:spacing w:after="0" w:line="240" w:lineRule="auto"/>
        <w:rPr>
          <w:rFonts w:ascii="Arial" w:hAnsi="Arial" w:eastAsia="宋体" w:cs="Arial"/>
          <w:color w:val="6C6C6C"/>
          <w:kern w:val="0"/>
          <w:sz w:val="18"/>
          <w:szCs w:val="18"/>
          <w14:ligatures w14:val="none"/>
        </w:rPr>
      </w:pP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培养环节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2209"/>
        <w:gridCol w:w="2209"/>
        <w:gridCol w:w="2209"/>
        <w:gridCol w:w="2209"/>
        <w:gridCol w:w="764"/>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培养环节代码</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培养环节名称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培养环节类型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培养环节学分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备注</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E4"/>
    <w:rsid w:val="00501BE4"/>
    <w:rsid w:val="0053177D"/>
    <w:rsid w:val="00A04DC6"/>
    <w:rsid w:val="00AA2003"/>
    <w:rsid w:val="00D569C6"/>
    <w:rsid w:val="68BC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4584</Words>
  <Characters>4823</Characters>
  <Lines>335</Lines>
  <Paragraphs>399</Paragraphs>
  <TotalTime>7</TotalTime>
  <ScaleCrop>false</ScaleCrop>
  <LinksUpToDate>false</LinksUpToDate>
  <CharactersWithSpaces>4836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2026-03-11T06:59:00Z</dcterms:created>
  <dc:creator>xian sheng li</dc:creator>
  <cp:lastModifiedBy>WPS_1693304473</cp:lastModifiedBy>
  <dcterms:modified xsi:type="dcterms:W3CDTF">2026-03-11T09:48:58Z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166A543DD65F4654A0FC34B8D48C9D4D</vt:lpwstr>
  </property>
</Properties>
</file>